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F31E" w14:textId="491EFF54" w:rsidR="00F54110" w:rsidRPr="007711F2" w:rsidRDefault="008D7112">
      <w:pPr>
        <w:rPr>
          <w:b/>
        </w:rPr>
      </w:pPr>
      <w:r>
        <w:rPr>
          <w:b/>
        </w:rPr>
        <w:t xml:space="preserve">Meddelande för KOSKI-huvudanvändare och utbildningsanordnarens huvudanvändare </w:t>
      </w:r>
      <w:r w:rsidR="00D64219" w:rsidRPr="00D64219">
        <w:rPr>
          <w:b/>
        </w:rPr>
        <w:t>1</w:t>
      </w:r>
      <w:r w:rsidR="0067030F">
        <w:rPr>
          <w:b/>
        </w:rPr>
        <w:t>8</w:t>
      </w:r>
      <w:bookmarkStart w:id="0" w:name="_GoBack"/>
      <w:bookmarkEnd w:id="0"/>
      <w:r w:rsidRPr="00D64219">
        <w:rPr>
          <w:b/>
        </w:rPr>
        <w:t>.2.2020</w:t>
      </w:r>
    </w:p>
    <w:p w14:paraId="2EA97867" w14:textId="77777777" w:rsidR="00322DEC" w:rsidRPr="001B3EF5" w:rsidRDefault="008D7112">
      <w:r>
        <w:t>Bästa huvudanvändare i KOSKI och utbildningsaktörens ansvariga användare!</w:t>
      </w:r>
    </w:p>
    <w:p w14:paraId="367CCB3B" w14:textId="77777777" w:rsidR="00F54110" w:rsidRPr="001B3EF5" w:rsidRDefault="008D7112">
      <w:r>
        <w:t>Nedan hittar ni information om dataöverföringar och införande av uppgifter i KOSKI. Om ni har frågor ber vi er kontakta KOSKI-tjänstens kundbetjäning på adressen (</w:t>
      </w:r>
      <w:hyperlink r:id="rId8" w:history="1">
        <w:r>
          <w:rPr>
            <w:rStyle w:val="Hyperlinkki"/>
          </w:rPr>
          <w:t>koski@opintopolku.fi</w:t>
        </w:r>
      </w:hyperlink>
      <w:r>
        <w:t xml:space="preserve">). </w:t>
      </w:r>
    </w:p>
    <w:p w14:paraId="6C8D58AB" w14:textId="77777777" w:rsidR="008365CF" w:rsidRPr="001B3EF5" w:rsidRDefault="00FF2624">
      <w:r>
        <w:t xml:space="preserve">Detta meddelande skickas undantagsvis även till utbildningsaktörens ansvariga användare eftersom några läroanstalter ännu saknar huvudanvändare i KOSKI. Vi ber er så fort som möjligt bevilja användarrättigheter som huvudanvändare i KOSKI åt de personer som behöver rättigheterna. Det rekommenderas att varje läroanstalt har minst en huvudanvändare i KOSKI, men varje utbildningsaktör kan bevilja användarrättigheterna på det sätt som man anser mest lämpligt. Anvisningar om användaradministrationen i KOSKI: </w:t>
      </w:r>
      <w:hyperlink r:id="rId9" w:history="1">
        <w:r>
          <w:rPr>
            <w:rStyle w:val="Hyperlinkki"/>
          </w:rPr>
          <w:t>https://confluence.csc.fi/pages/viewpage.action?pageId=72811519</w:t>
        </w:r>
      </w:hyperlink>
      <w:r>
        <w:t>. I anvisningarna finns också en länk till instruktionerna om hur man bjuder in en person att bli administratör i Studieinfo, om personen saknar användarrättigheter i Studieinfo.</w:t>
      </w:r>
    </w:p>
    <w:p w14:paraId="058F87D8" w14:textId="4A55C857" w:rsidR="009028DA" w:rsidRDefault="009028DA">
      <w:r>
        <w:t xml:space="preserve">Se också ändringshistoriken i Koski-tjänstens logg för uppgiftsöverföring. </w:t>
      </w:r>
      <w:hyperlink r:id="rId10" w:history="1">
        <w:r>
          <w:rPr>
            <w:rStyle w:val="Hyperlinkki"/>
          </w:rPr>
          <w:t>https://github.com/Opetushallitus/koski/blob/master/tiedonsiirtoprotokollan_muutoshistoria.md</w:t>
        </w:r>
      </w:hyperlink>
      <w:r>
        <w:t>.</w:t>
      </w:r>
    </w:p>
    <w:p w14:paraId="57F387C6" w14:textId="4EC0F202" w:rsidR="00F629D9" w:rsidRPr="001F7D25" w:rsidRDefault="00F629D9">
      <w:r>
        <w:t xml:space="preserve">Sidan ”KOSKI-data – jämförbart material och statistiska rapporter” där alla rapporter som grundar sig på uppgifterna i KOSKI publiceras av dem som använder informationen (Statistikcentralen, beräkningen av finansieringen). Där publiceras även jämförelser till övriga informationskällor:   </w:t>
      </w:r>
      <w:hyperlink r:id="rId11" w:history="1">
        <w:r>
          <w:rPr>
            <w:rStyle w:val="Hyperlinkki"/>
          </w:rPr>
          <w:t>https://confluence.csc.fi/pages/viewpage.action?pageId=85036904</w:t>
        </w:r>
      </w:hyperlink>
      <w:r>
        <w:t xml:space="preserve">. </w:t>
      </w:r>
    </w:p>
    <w:p w14:paraId="6E5B1659" w14:textId="3BA746C8" w:rsidR="008D7112" w:rsidRPr="00AC1CF5" w:rsidRDefault="008D7112" w:rsidP="008D7112">
      <w:pPr>
        <w:rPr>
          <w:b/>
        </w:rPr>
      </w:pPr>
      <w:r>
        <w:rPr>
          <w:b/>
        </w:rPr>
        <w:t xml:space="preserve">1. </w:t>
      </w:r>
      <w:r w:rsidR="00836CBB">
        <w:rPr>
          <w:b/>
        </w:rPr>
        <w:t>Gemensamma frågor</w:t>
      </w:r>
      <w:r>
        <w:rPr>
          <w:b/>
        </w:rPr>
        <w:t>:</w:t>
      </w:r>
    </w:p>
    <w:p w14:paraId="5445301B" w14:textId="791F67D9" w:rsidR="00FA4574" w:rsidRDefault="00FA4574" w:rsidP="00FA4574">
      <w:r w:rsidRPr="00765F1A">
        <w:rPr>
          <w:b/>
          <w:bCs/>
        </w:rPr>
        <w:t>Finansieringsformen för statusperioder som är kopplade till en studierätt blir en obligatorisk uppgift i fråga om sådana statusperioder som inverkar på beräkningen av statsandelsfinansieringen för yrkesutbildningen, gymnasieutbildningen och den grundläggande utbildningen för vuxna</w:t>
      </w:r>
      <w:r w:rsidR="00765F1A" w:rsidRPr="00765F1A">
        <w:rPr>
          <w:b/>
          <w:bCs/>
        </w:rPr>
        <w:t>:</w:t>
      </w:r>
      <w:r>
        <w:rPr>
          <w:b/>
        </w:rPr>
        <w:t xml:space="preserve"> </w:t>
      </w:r>
      <w:r>
        <w:t>Överföringen av uppgifter till KOSKI har fått en ny valideringsfunktion, som vid överföringen av uppgifter förutsätter att finansieringsformen har angetts för sådana statusperioder (i anslutning till en studierätt) som inverkar på beräkningen av statsandelsfinansieringen inom yrkesutbildningen och gymnasieutbildningen. Det här innebär att alla uppgiftsöverföringar, som omfattar dylika statusperioder för vilka ingen finansieringsform har angetts, kommer att leda till ett fel i uppgifterna. Finansieringsformen ska överföras till följande statusperioder:</w:t>
      </w:r>
    </w:p>
    <w:p w14:paraId="7D536827" w14:textId="77777777" w:rsidR="00FA4574" w:rsidRDefault="00FA4574" w:rsidP="00FA4574">
      <w:pPr>
        <w:pStyle w:val="Luettelokappale"/>
        <w:numPr>
          <w:ilvl w:val="0"/>
          <w:numId w:val="5"/>
        </w:numPr>
      </w:pPr>
      <w:r>
        <w:t>Yrkesutbildning:</w:t>
      </w:r>
    </w:p>
    <w:p w14:paraId="03CF9309" w14:textId="77777777" w:rsidR="00FA4574" w:rsidRDefault="00FA4574" w:rsidP="00FA4574">
      <w:pPr>
        <w:pStyle w:val="Luettelokappale"/>
        <w:numPr>
          <w:ilvl w:val="1"/>
          <w:numId w:val="5"/>
        </w:numPr>
      </w:pPr>
      <w:r>
        <w:t>”Närvarande”</w:t>
      </w:r>
    </w:p>
    <w:p w14:paraId="4D488547" w14:textId="77777777" w:rsidR="00FA4574" w:rsidRDefault="00FA4574" w:rsidP="00FA4574">
      <w:pPr>
        <w:pStyle w:val="Luettelokappale"/>
        <w:numPr>
          <w:ilvl w:val="1"/>
          <w:numId w:val="5"/>
        </w:numPr>
      </w:pPr>
      <w:r>
        <w:t>”Semester”</w:t>
      </w:r>
    </w:p>
    <w:p w14:paraId="722DD9CB" w14:textId="77777777" w:rsidR="00FA4574" w:rsidRDefault="00FA4574" w:rsidP="00FA4574">
      <w:pPr>
        <w:pStyle w:val="Luettelokappale"/>
        <w:numPr>
          <w:ilvl w:val="1"/>
          <w:numId w:val="5"/>
        </w:numPr>
      </w:pPr>
      <w:r>
        <w:t>”Utexaminerad”</w:t>
      </w:r>
    </w:p>
    <w:p w14:paraId="64093B41" w14:textId="110CF9B7" w:rsidR="00FA4574" w:rsidRDefault="00FA4574" w:rsidP="00FA4574">
      <w:pPr>
        <w:pStyle w:val="Luettelokappale"/>
        <w:numPr>
          <w:ilvl w:val="0"/>
          <w:numId w:val="5"/>
        </w:numPr>
      </w:pPr>
      <w:r>
        <w:t>Gymnasieutbildningen (inklusive utbildning som förbereder för gymnasieutbildning och IB-utbildning):</w:t>
      </w:r>
    </w:p>
    <w:p w14:paraId="513305DA" w14:textId="77777777" w:rsidR="00FA4574" w:rsidRDefault="00FA4574" w:rsidP="00FA4574">
      <w:pPr>
        <w:pStyle w:val="Luettelokappale"/>
        <w:numPr>
          <w:ilvl w:val="1"/>
          <w:numId w:val="5"/>
        </w:numPr>
      </w:pPr>
      <w:r>
        <w:t>”Närvarande”</w:t>
      </w:r>
    </w:p>
    <w:p w14:paraId="297A4F69" w14:textId="174CD534" w:rsidR="00FA4574" w:rsidRDefault="00FA4574" w:rsidP="00EC6F0C">
      <w:pPr>
        <w:pStyle w:val="Luettelokappale"/>
        <w:numPr>
          <w:ilvl w:val="1"/>
          <w:numId w:val="5"/>
        </w:numPr>
      </w:pPr>
      <w:r>
        <w:t>”Utexaminerad”</w:t>
      </w:r>
    </w:p>
    <w:p w14:paraId="799BDA61" w14:textId="2C4687C3" w:rsidR="00FA4574" w:rsidRDefault="00FA4574" w:rsidP="00FA4574">
      <w:pPr>
        <w:pStyle w:val="Luettelokappale"/>
        <w:numPr>
          <w:ilvl w:val="0"/>
          <w:numId w:val="5"/>
        </w:numPr>
      </w:pPr>
      <w:r>
        <w:t>Grundläggande utbildning för vuxna</w:t>
      </w:r>
      <w:r w:rsidR="00576C07">
        <w:t>:</w:t>
      </w:r>
    </w:p>
    <w:p w14:paraId="29F63D1A" w14:textId="149D0654" w:rsidR="00FA4574" w:rsidRDefault="00FA4574" w:rsidP="00FA4574">
      <w:pPr>
        <w:pStyle w:val="Luettelokappale"/>
        <w:numPr>
          <w:ilvl w:val="1"/>
          <w:numId w:val="5"/>
        </w:numPr>
      </w:pPr>
      <w:r>
        <w:t>”Närvarande”</w:t>
      </w:r>
    </w:p>
    <w:p w14:paraId="67087584" w14:textId="17952965" w:rsidR="00FA4574" w:rsidRPr="00FA4574" w:rsidRDefault="00FA4574" w:rsidP="00FA4574">
      <w:pPr>
        <w:pStyle w:val="Luettelokappale"/>
        <w:numPr>
          <w:ilvl w:val="1"/>
          <w:numId w:val="5"/>
        </w:numPr>
      </w:pPr>
      <w:r>
        <w:t>”Utexaminerad”</w:t>
      </w:r>
    </w:p>
    <w:p w14:paraId="2A168AA8" w14:textId="1F689BA0" w:rsidR="00CD4BF8" w:rsidRPr="00AC1CF5" w:rsidRDefault="00AE19D9" w:rsidP="00EC6F0C">
      <w:r>
        <w:rPr>
          <w:b/>
        </w:rPr>
        <w:t>I användargränssnittet och granskningsloggarna anges om en elev/studerande inte har identifierats:</w:t>
      </w:r>
      <w:r>
        <w:t xml:space="preserve"> Vi påminner utbildningsanordnarna om att det i KOSKI-tjänstens användarg</w:t>
      </w:r>
      <w:r w:rsidR="00836CBB">
        <w:t>r</w:t>
      </w:r>
      <w:r>
        <w:t xml:space="preserve">änssnitt och i granskningsloggarna nu anges för varje elev eller studerande om hen har identifierats i tjänsten. Vi ber i synnerhet utbildningsanordnarna att med hjälp av granskningsloggarna försöka hitta de elever och </w:t>
      </w:r>
      <w:r>
        <w:lastRenderedPageBreak/>
        <w:t xml:space="preserve">studerande som inte har identifierats och se till att eleven eller den studerande identifieras om det handlar om en person som saknar personbeteckning. Om det finns elever eller studerande som inte har identifierats men som nog har en personbeteckning ber vi utbildningsanordnaren vara i kontakt med KOSKI-teamet. </w:t>
      </w:r>
    </w:p>
    <w:p w14:paraId="529CF69B" w14:textId="78C2279D" w:rsidR="002D429C" w:rsidRDefault="00AE19D9" w:rsidP="00EC6F0C">
      <w:r>
        <w:rPr>
          <w:b/>
        </w:rPr>
        <w:t xml:space="preserve">Nya anvisningar för att kontrollera uppgifternas kvalitet: </w:t>
      </w:r>
      <w:r>
        <w:t xml:space="preserve">KOSKI-teamet förnyar anvisningarna för att kontrollera uppgifternas kvalitet. I anvisningarna försöker man med hjälp av exempel från varje utbildningsform åskådliggöra hur enskilda eller flera uppgifter ska synas under studierätten och prestationerna då de har överförts/förts in korrekt. Förnyade anvisningar finns för närvarande för följande utbildningsformer: förskoleundervisning, grundläggande utbildning, gymnasieutbildning och yrkesutbildning (grundexamina som motsvarar reformen). Anvisningarna kompletteras senare för de övriga utbildningsformernas del och även ovan nämnda anvisningar kommer att uppdateras ytterligare. Vi ber utbildningsanordnarna närmare ta del av anvisningarna till den de gäller utbildningsanordnarens utbildningsformer samt se till att alla uppgifter som anges i anvisningarna överförs/förs in i KOSKI på det sätt som beskrivs. Vi försöker att i våra meddelanden i fortsättningen alltid hänvisa till anvisningarna då det är möjligt. De förnyade anvisningarna finns på adressen: </w:t>
      </w:r>
      <w:hyperlink r:id="rId12" w:history="1">
        <w:r>
          <w:rPr>
            <w:rStyle w:val="Hyperlinkki"/>
          </w:rPr>
          <w:t>https://confluence.csc.fi/pages/viewpage.action?pageId=68736471</w:t>
        </w:r>
      </w:hyperlink>
      <w:r>
        <w:t xml:space="preserve">. </w:t>
      </w:r>
    </w:p>
    <w:p w14:paraId="4B76A65C" w14:textId="7C5DBA67" w:rsidR="009F0133" w:rsidRDefault="009F0133" w:rsidP="00EC6F0C">
      <w:r>
        <w:rPr>
          <w:b/>
          <w:bCs/>
        </w:rPr>
        <w:t>Organisationshistorik ska nu sparas i den senaste versionen av studierätten:</w:t>
      </w:r>
      <w:r>
        <w:t xml:space="preserve"> I KOSKI-tjänstens protokoll över uppgiftsöverföringar finns en ny egenskap som innebär att KOSKI sparar uppgifter om att utbildningsanordnaren/aktören inom småbarnspedagogik eller läroanstalten/verksamhetsstället inom småbarnspedagogik har ändrat under den tid en studierätt är aktiv (till exempel vid en fusion mellan två utbildningsaktörer). Uppgiften syns i administratörens användargränssnitt.</w:t>
      </w:r>
    </w:p>
    <w:p w14:paraId="32C4FF13" w14:textId="2C443B21" w:rsidR="00AD23FE" w:rsidRPr="00866272" w:rsidRDefault="00AD23FE" w:rsidP="00EC6F0C">
      <w:r>
        <w:rPr>
          <w:b/>
          <w:bCs/>
        </w:rPr>
        <w:t>Nya egenskaper uppdateras inte längre i testmiljön KOSKI Extra.</w:t>
      </w:r>
      <w:r>
        <w:t xml:space="preserve"> Den nuvarande KOSKI-testmiljön kommer (</w:t>
      </w:r>
      <w:hyperlink r:id="rId13" w:history="1">
        <w:r>
          <w:rPr>
            <w:rStyle w:val="Hyperlinkki"/>
          </w:rPr>
          <w:t>https://extra.koski.opintopolku.fi</w:t>
        </w:r>
      </w:hyperlink>
      <w:r>
        <w:t>) att läggas ner, och de nya egenskaper som utvecklas för överföring av uppgifter till KOSKI eller för användargränssnittet syns inte längre i Extra-miljön. Miljön kan tills vidare ännu användas för att testa sådana egenskaper som redan är i användning (förutom de nya kodvärden för gymnasiets särskilda utbildningsuppgifter och ändringarna i förskoleundervisningens uppgiftsmodell som anges i detta meddelande). Lösningen kommer att ersättas, en ny testmiljö planeras för närvarande.</w:t>
      </w:r>
    </w:p>
    <w:p w14:paraId="464E2BFD" w14:textId="19AD7744" w:rsidR="00791154" w:rsidRDefault="00791154" w:rsidP="00EC6F0C">
      <w:pPr>
        <w:rPr>
          <w:b/>
          <w:bCs/>
        </w:rPr>
      </w:pPr>
      <w:r>
        <w:rPr>
          <w:b/>
          <w:bCs/>
        </w:rPr>
        <w:t>2. Förskoleundervisning</w:t>
      </w:r>
    </w:p>
    <w:p w14:paraId="2C8A4867" w14:textId="77777777" w:rsidR="00BB3826" w:rsidRDefault="009A2A1B" w:rsidP="00EC6F0C">
      <w:r>
        <w:rPr>
          <w:b/>
          <w:bCs/>
        </w:rPr>
        <w:t xml:space="preserve">Förskoleundervisningens granskningslogg </w:t>
      </w:r>
      <w:r>
        <w:t>I KOSKI-tjänstens rapporteringsgränssnitt (</w:t>
      </w:r>
      <w:hyperlink r:id="rId14" w:history="1">
        <w:r>
          <w:rPr>
            <w:rStyle w:val="Hyperlinkki"/>
          </w:rPr>
          <w:t>https://virkailija.opintopolku.fi/koski/raportit</w:t>
        </w:r>
      </w:hyperlink>
      <w:r>
        <w:t>) finns en ny granskningslogg för uppgifter om studierätter och prestationer inom förskoleundervisningen. I användargränssnittet finns också en beskrivning och anvisningar för ibruktagandet av granskningsloggen. I granskningsloggen finns också beskrivningar av kolumnerna till den del kolumnernas namn inte i tillräcklig grad beskriver kolumnernas innehåll. Förskoleundervisningens granskningslogg kan skrivas ut så uppgifterna syns på läroanstalts- eller aktörsnivå. Granskningsloggen kan skrivas ut av KOSKI-huvudanvändaren eller en sådan KOSKI-registrerare som har rätt att behandla känsliga uppgifter. Utbildningsanordnarna och aktörerna inom småbarnspedagogik uppmanas använda granskningsloggarna för att kontrollera uppgifterna om studierätter och prestationer inom förskoleundervisningen.</w:t>
      </w:r>
    </w:p>
    <w:p w14:paraId="4D7FD969" w14:textId="64481AD1" w:rsidR="00FA4574" w:rsidRPr="009A2A1B" w:rsidRDefault="00BB3826" w:rsidP="00EC6F0C">
      <w:r>
        <w:rPr>
          <w:b/>
          <w:bCs/>
        </w:rPr>
        <w:t>Ändringar i uppgiftsmodellen för förskoleundervisning:</w:t>
      </w:r>
      <w:r>
        <w:t xml:space="preserve"> Ändringar har gjorts i uppgiftsmodellen för förskoleundervisning så att städerna och kommunerna ska kunna överföra/föra in uppgifterna om prestationer och studierätter i KOSKI för sådan förskoleundervisning som ordnas som köpt tjänst eller med servicesedel. Motsvarande ändringar har även gjorts för att privata serviceproducenter ska kunna överföra/föra in uppgifter om prestationer och studierätter för sina egna förskolebarn. Anvisningar om hur förskoleuppgifterna ska synas då de överförts korrekt, finns i de nya anvisningarna om överföring av uppgifter till KOSKI (</w:t>
      </w:r>
      <w:hyperlink r:id="rId15" w:history="1">
        <w:r>
          <w:rPr>
            <w:rStyle w:val="Hyperlinkki"/>
          </w:rPr>
          <w:t>https://confluence.csc.fi/display/OPHPALV/Esiopetuksen+suoritustiedot</w:t>
        </w:r>
      </w:hyperlink>
      <w:r>
        <w:t xml:space="preserve">). Ändringarna </w:t>
      </w:r>
      <w:r>
        <w:lastRenderedPageBreak/>
        <w:t xml:space="preserve">presenteras även vid KOSKI-webbinariet som ordnas tisdagen 11.2.2020 kl. 9.30-11.00 om överföring av uppgifter om förskoleundervisning (länk till webbinariet: </w:t>
      </w:r>
      <w:hyperlink r:id="rId16" w:history="1">
        <w:r>
          <w:rPr>
            <w:rStyle w:val="Hyperlinkki"/>
          </w:rPr>
          <w:t>https://meet.lync.com/oph.fi/essi.kristiina.laitinen/G6CGKN31</w:t>
        </w:r>
      </w:hyperlink>
      <w:r>
        <w:t>). Vi ber utbildningsanordnarna vara i kontakt med sina systemleverantörer angående registreringarna som ska göras i källsystemet samt angående tidtabellen för ändringarna, så att även sådana uppgifter om studierätter och prestationer inom förskoleundervisning som ordnas som köpt tjänst och med studiesedel</w:t>
      </w:r>
      <w:r w:rsidR="00B74151">
        <w:t xml:space="preserve"> </w:t>
      </w:r>
      <w:r>
        <w:t>och inom förskoleundervisning som privata serviceproducenter själva ordnar</w:t>
      </w:r>
      <w:r w:rsidR="00B74151">
        <w:t>,</w:t>
      </w:r>
      <w:r>
        <w:t xml:space="preserve"> ska kunna överföras till KOSKI.</w:t>
      </w:r>
    </w:p>
    <w:p w14:paraId="4F2CA682" w14:textId="2CF81C03" w:rsidR="00C27136" w:rsidRDefault="00791154" w:rsidP="001A0F62">
      <w:pPr>
        <w:spacing w:before="160"/>
        <w:rPr>
          <w:b/>
        </w:rPr>
      </w:pPr>
      <w:r>
        <w:rPr>
          <w:b/>
        </w:rPr>
        <w:t>3. Grundläggande utbildning</w:t>
      </w:r>
    </w:p>
    <w:p w14:paraId="45575A0F" w14:textId="12E12D22" w:rsidR="00F21F7D" w:rsidRPr="00AC1CF5" w:rsidRDefault="00F21F7D" w:rsidP="001A0F62">
      <w:pPr>
        <w:spacing w:before="160"/>
      </w:pPr>
      <w:r>
        <w:rPr>
          <w:b/>
        </w:rPr>
        <w:t xml:space="preserve">Ändringar i valideringsfunktionen som berör vitsorden i avgångsbetyget i den grundläggande utbildningen: </w:t>
      </w:r>
      <w:r>
        <w:t>I uppgiftsmodellen i KOSKI tillåts nu anteckningen Deltagit i avgångsbetyget i den grundläggande utbildningen för sådana valfria ämnen som omfattar mindre än två årsveckotimmar. För lokala läroämnen kan även överföras anteckningen Godkänd även om omfattningen är mer än 2 årsveckotimmar.</w:t>
      </w:r>
    </w:p>
    <w:p w14:paraId="611385D3" w14:textId="258813CB" w:rsidR="00707ADC" w:rsidRDefault="00103306" w:rsidP="00707ADC">
      <w:pPr>
        <w:rPr>
          <w:b/>
        </w:rPr>
      </w:pPr>
      <w:r>
        <w:rPr>
          <w:b/>
        </w:rPr>
        <w:t>4. Grundläggande utbildning för vuxna</w:t>
      </w:r>
    </w:p>
    <w:p w14:paraId="706C1C66" w14:textId="3D3D1889" w:rsidR="0041509A" w:rsidRPr="0041509A" w:rsidRDefault="0041509A" w:rsidP="00707ADC">
      <w:pPr>
        <w:rPr>
          <w:bCs/>
        </w:rPr>
      </w:pPr>
      <w:r>
        <w:rPr>
          <w:b/>
        </w:rPr>
        <w:t xml:space="preserve">Simulering för beräkningen av statsandelsfinansiering utifrån antalet kurser inom den grundläggande utbildningen för vuxna: </w:t>
      </w:r>
      <w:r>
        <w:t>En simuleringsrapport för statsandelsfinansieringen (Kursprestationer och beräkning av finansieringen för grundläggande utbildning för vuxna) har publicerats och kan laddas ner på sidan ”KOSKI-data – jämförbart material och statistiska rapporter”(</w:t>
      </w:r>
      <w:hyperlink r:id="rId17" w:history="1">
        <w:r>
          <w:rPr>
            <w:rStyle w:val="Hyperlinkki"/>
            <w:bCs/>
          </w:rPr>
          <w:t>https://confluence.csc.fi/pages/viewpage.action?pageId=85036904</w:t>
        </w:r>
      </w:hyperlink>
      <w:r>
        <w:t xml:space="preserve">). Materialet är en simulering av hur det faktiska kursantalet 2019 inom den grundläggande utbildningen för vuxna, som utgör grunden för statsandelsfinansieringen, skulle inverka på statsandelsfinansieringen för 2021 för respektive utbildningsanordnare, om det faktiska antalet räknas utifrån uppgifterna som sparats i KOSKI 3.2. I materialet har gjorts skillnad mellan kursprestationer inom en närvaroperiod som finansieras med statsandelar, kursprestationer inom en närvaroperiod som finansieras på annat sätt, kursprestationer inom </w:t>
      </w:r>
      <w:r w:rsidR="00B74151">
        <w:t xml:space="preserve">en </w:t>
      </w:r>
      <w:r>
        <w:t xml:space="preserve">närvaroperiod som saknar finansieringsform samt kursprestationer som är utanför studierättens giltighetsperiod (begynnelsedatum-slutdatum). Erkända kursprestationer har inte räknats med i det faktiska antalet kurser. Noggrannare beskrivningar finns på mellanbladet ”Jämförelse”. Direkt länk till materialet: </w:t>
      </w:r>
      <w:hyperlink r:id="rId18" w:history="1">
        <w:r>
          <w:rPr>
            <w:rStyle w:val="Hyperlinkki"/>
            <w:bCs/>
          </w:rPr>
          <w:t>https://confluence.csc.fi/download/attachments/85036904/AIKUISTEN_PO_2019_vertailu_2020_02_03.xlsx?version=1&amp;modificationDate=1580800872033&amp;api=v2</w:t>
        </w:r>
      </w:hyperlink>
      <w:r>
        <w:t>. Vi ber utbildningsanordnarna jämföra antalet kurser som finns i materialet med siffrorna i det egna systemet och om det behövs överföra de kursprestationer som saknas inom grundläggande utbildning för vuxna under rätt prestationer på huvudnivå samt</w:t>
      </w:r>
      <w:r w:rsidR="00B74151">
        <w:t xml:space="preserve"> till den del finansieringsformerna saknas</w:t>
      </w:r>
      <w:r>
        <w:t xml:space="preserve"> överföra uppgifter om finansieringsformer</w:t>
      </w:r>
      <w:r w:rsidR="005C5B94">
        <w:t>na</w:t>
      </w:r>
      <w:r>
        <w:t xml:space="preserve"> under </w:t>
      </w:r>
      <w:r w:rsidR="005C5B94">
        <w:t xml:space="preserve">de </w:t>
      </w:r>
      <w:r>
        <w:t>närvaroperioder och datum då prestationerna avlagts</w:t>
      </w:r>
      <w:r w:rsidR="005C5B94">
        <w:t xml:space="preserve"> där finansieringsformen saknas</w:t>
      </w:r>
      <w:r>
        <w:t>.</w:t>
      </w:r>
    </w:p>
    <w:p w14:paraId="2E9D05DC" w14:textId="1120FA91" w:rsidR="005822FE" w:rsidRPr="00AC1CF5" w:rsidRDefault="00103306" w:rsidP="00707ADC">
      <w:pPr>
        <w:rPr>
          <w:b/>
          <w:bCs/>
        </w:rPr>
      </w:pPr>
      <w:r>
        <w:rPr>
          <w:b/>
          <w:bCs/>
        </w:rPr>
        <w:t>5. Undervisning som förbereder för grundläggande utbildning</w:t>
      </w:r>
    </w:p>
    <w:p w14:paraId="7DCD5815" w14:textId="70721499" w:rsidR="003A68B0" w:rsidRPr="00AC1CF5" w:rsidRDefault="003A68B0" w:rsidP="00707ADC">
      <w:pPr>
        <w:rPr>
          <w:bCs/>
        </w:rPr>
      </w:pPr>
      <w:r>
        <w:rPr>
          <w:b/>
          <w:bCs/>
        </w:rPr>
        <w:t xml:space="preserve">Ändringar i uppgiftsmodellen för undervisning som förbereder för grundläggande utbildning: </w:t>
      </w:r>
      <w:r>
        <w:t>Följande ändringar har gjorts i uppgiftsmodellen för undervisning som förbereder för grundläggande utbildning. Vi ber anordnarna av undervisning som förbereder för grundläggande utbildning att kontrollera med sina systemleverantörer när uppgifterna som motsvarar ändringarna kan överföras från det egna studieadministrativa systemet till KOSKI:</w:t>
      </w:r>
    </w:p>
    <w:p w14:paraId="6A6E0BC0" w14:textId="00B86A8D" w:rsidR="00387F96" w:rsidRPr="00AC1CF5" w:rsidRDefault="00387F96" w:rsidP="00387F96">
      <w:pPr>
        <w:pStyle w:val="Luettelokappale"/>
        <w:numPr>
          <w:ilvl w:val="0"/>
          <w:numId w:val="4"/>
        </w:numPr>
        <w:spacing w:before="160"/>
        <w:ind w:left="1080"/>
      </w:pPr>
      <w:r>
        <w:t xml:space="preserve">nytt fält för att ange omfattningen av prestationer på huvudnivå: </w:t>
      </w:r>
      <w:hyperlink r:id="rId19" w:anchor="viewer-page?v=1-0-9-8-0-6" w:history="1">
        <w:r>
          <w:rPr>
            <w:rStyle w:val="Hyperlinkki"/>
          </w:rPr>
          <w:t>https://virkailija.opintopolku.fi/koski/json-schema-viewer/#viewer-page?v=1-0-9-8-0-6</w:t>
        </w:r>
      </w:hyperlink>
      <w:r>
        <w:t xml:space="preserve"> </w:t>
      </w:r>
    </w:p>
    <w:p w14:paraId="1AC5A735" w14:textId="54D42EBF" w:rsidR="00387F96" w:rsidRPr="00AC1CF5" w:rsidRDefault="0067030F" w:rsidP="00387F96">
      <w:pPr>
        <w:pStyle w:val="Luettelokappale"/>
        <w:numPr>
          <w:ilvl w:val="0"/>
          <w:numId w:val="4"/>
        </w:numPr>
        <w:spacing w:before="160"/>
        <w:ind w:left="1080"/>
      </w:pPr>
      <w:r>
        <w:t>f</w:t>
      </w:r>
      <w:r w:rsidR="00387F96">
        <w:t>ör</w:t>
      </w:r>
      <w:r w:rsidR="005C5B94">
        <w:t xml:space="preserve"> prestationer i anslutning till läroämnen i den grundläggande utbildningen finns i uppgiftsmodellen </w:t>
      </w:r>
      <w:r w:rsidR="00387F96">
        <w:t xml:space="preserve">en specifik gren </w:t>
      </w:r>
      <w:r w:rsidR="005C5B94">
        <w:t xml:space="preserve">för undervisning som förbereder för grundläggande </w:t>
      </w:r>
      <w:r w:rsidR="005C5B94">
        <w:lastRenderedPageBreak/>
        <w:t>utbildning</w:t>
      </w:r>
      <w:r w:rsidR="00387F96">
        <w:t xml:space="preserve"> (</w:t>
      </w:r>
      <w:hyperlink r:id="rId20" w:anchor="viewer-page?v=1-0-9-8-0-5-0-0" w:history="1">
        <w:r w:rsidR="00387F96">
          <w:rPr>
            <w:rStyle w:val="Hyperlinkki"/>
          </w:rPr>
          <w:t>https://virkailija.opintopolku.fi/koski/json-schema-viewer/#viewer-page?v=1-0-9-8-0-5-0-0</w:t>
        </w:r>
      </w:hyperlink>
      <w:r w:rsidR="00387F96">
        <w:t>),</w:t>
      </w:r>
      <w:r w:rsidR="005C5B94">
        <w:t xml:space="preserve"> </w:t>
      </w:r>
      <w:r w:rsidR="005D49A6">
        <w:t>i anslutning till vilken</w:t>
      </w:r>
      <w:r w:rsidR="005C5B94">
        <w:t>:</w:t>
      </w:r>
    </w:p>
    <w:p w14:paraId="2BAC69A8" w14:textId="77777777" w:rsidR="00387F96" w:rsidRPr="00AC1CF5" w:rsidRDefault="00387F96" w:rsidP="00387F96">
      <w:pPr>
        <w:pStyle w:val="Luettelokappale"/>
        <w:numPr>
          <w:ilvl w:val="1"/>
          <w:numId w:val="4"/>
        </w:numPr>
        <w:spacing w:before="160"/>
      </w:pPr>
      <w:r>
        <w:t>utbildningsmodulernas omfattning (årsveckotimmar) är en obligatorisk uppgift:</w:t>
      </w:r>
    </w:p>
    <w:p w14:paraId="105E1DDD" w14:textId="05C4C145" w:rsidR="00387F96" w:rsidRPr="00AC1CF5" w:rsidRDefault="005C5B94" w:rsidP="00387F96">
      <w:pPr>
        <w:pStyle w:val="Luettelokappale"/>
        <w:numPr>
          <w:ilvl w:val="1"/>
          <w:numId w:val="4"/>
        </w:numPr>
        <w:spacing w:before="160"/>
      </w:pPr>
      <w:r>
        <w:t xml:space="preserve">det finns ett </w:t>
      </w:r>
      <w:r w:rsidR="00387F96">
        <w:t xml:space="preserve">nytt fält där man kan ange vilken årskurs en prestation i ett läroämne motsvarar: </w:t>
      </w:r>
      <w:hyperlink r:id="rId21" w:anchor="viewer-page?v=1-0-9-8-0-5-0-0-3" w:history="1">
        <w:r w:rsidR="00387F96">
          <w:rPr>
            <w:rStyle w:val="Hyperlinkki"/>
          </w:rPr>
          <w:t>https://virkailija.opintopolku.fi/koski/json-schema-viewer/#viewer-page?v=1-0-9-8-0-5-0-0-3</w:t>
        </w:r>
      </w:hyperlink>
      <w:r w:rsidR="00387F96">
        <w:t xml:space="preserve"> </w:t>
      </w:r>
    </w:p>
    <w:p w14:paraId="49CDF227" w14:textId="03F8C5B4" w:rsidR="00387F96" w:rsidRPr="00AC1CF5" w:rsidRDefault="005C5B94" w:rsidP="00387F96">
      <w:pPr>
        <w:pStyle w:val="Luettelokappale"/>
        <w:numPr>
          <w:ilvl w:val="1"/>
          <w:numId w:val="4"/>
        </w:numPr>
        <w:spacing w:before="160"/>
      </w:pPr>
      <w:r>
        <w:t>man s</w:t>
      </w:r>
      <w:r w:rsidR="00387F96">
        <w:t>om vitsordsskala använd</w:t>
      </w:r>
      <w:r>
        <w:t>er</w:t>
      </w:r>
      <w:r w:rsidR="00387F96">
        <w:t xml:space="preserve"> vitsordsskalan i den grundläggande utbildningen, men valideringen genomförs så att om vitsordet är något annat än Deltagit ska ovan nämnda årskursuppgift anges</w:t>
      </w:r>
    </w:p>
    <w:p w14:paraId="59E5EA0B" w14:textId="7BB9402C" w:rsidR="00EA24DA" w:rsidRPr="00EA24DA" w:rsidRDefault="00387F96" w:rsidP="00EA24DA">
      <w:pPr>
        <w:pStyle w:val="Luettelokappale"/>
        <w:numPr>
          <w:ilvl w:val="1"/>
          <w:numId w:val="4"/>
        </w:numPr>
        <w:spacing w:before="160"/>
      </w:pPr>
      <w:r>
        <w:t>fälten ”individuell” och ”betonas” har raderats från uppgifterna om läroämnena</w:t>
      </w:r>
    </w:p>
    <w:p w14:paraId="4BA3FE35" w14:textId="150069C1" w:rsidR="00880AA7" w:rsidRPr="005C5B94" w:rsidRDefault="005C5B94" w:rsidP="00880AA7">
      <w:pPr>
        <w:pStyle w:val="Luettelokappale"/>
        <w:numPr>
          <w:ilvl w:val="1"/>
          <w:numId w:val="4"/>
        </w:numPr>
        <w:spacing w:before="160"/>
      </w:pPr>
      <w:r w:rsidRPr="005C5B94">
        <w:t xml:space="preserve">där man anger om den som avlägger undervisning i grundläggande utbildning har avlagt hela lärokursen i ett läroämne eller en årskurs som </w:t>
      </w:r>
      <w:r>
        <w:t>en särskild examen</w:t>
      </w:r>
      <w:r w:rsidRPr="005C5B94">
        <w:t xml:space="preserve"> (</w:t>
      </w:r>
      <w:hyperlink r:id="rId22" w:anchor="viewer-page?v=1-0-9-8-0-5-0-0-5" w:history="1">
        <w:r w:rsidRPr="005C5B94">
          <w:rPr>
            <w:rStyle w:val="Hyperlinkki"/>
          </w:rPr>
          <w:t>https://virkailija.opintopolku.fi/koski/json-schema-viewer/#viewer-page?v=1-0-9-8-0-5-0-0-5</w:t>
        </w:r>
      </w:hyperlink>
      <w:r w:rsidRPr="005C5B94">
        <w:t xml:space="preserve">) </w:t>
      </w:r>
    </w:p>
    <w:p w14:paraId="3DDF1994" w14:textId="65BD9A0F" w:rsidR="00CD4BF8" w:rsidRPr="00AC1CF5" w:rsidRDefault="00103306" w:rsidP="00EC6F0C">
      <w:pPr>
        <w:rPr>
          <w:b/>
        </w:rPr>
      </w:pPr>
      <w:r>
        <w:rPr>
          <w:b/>
        </w:rPr>
        <w:t>6. Gymnasieutbildning</w:t>
      </w:r>
    </w:p>
    <w:p w14:paraId="789ECF66" w14:textId="614B902B" w:rsidR="009C14EA" w:rsidRPr="005D49A6" w:rsidRDefault="00CB16E4" w:rsidP="00456562">
      <w:pPr>
        <w:rPr>
          <w:b/>
        </w:rPr>
      </w:pPr>
      <w:r>
        <w:rPr>
          <w:b/>
        </w:rPr>
        <w:t>Uppgifter om studerande som avlägger gymnasiets lärokurs på fler än fyra år</w:t>
      </w:r>
      <w:r w:rsidR="005D49A6">
        <w:rPr>
          <w:b/>
        </w:rPr>
        <w:t xml:space="preserve">: </w:t>
      </w:r>
      <w:r>
        <w:t xml:space="preserve">Vi vill påminna om att </w:t>
      </w:r>
      <w:r w:rsidR="005D49A6">
        <w:t>då det gäller</w:t>
      </w:r>
      <w:r>
        <w:t xml:space="preserve"> studerande som avlägger gymnasiets lärokurs på fler än fyra år ska finansieringen för närvaroperioden ändras till ”</w:t>
      </w:r>
      <w:r w:rsidR="00BE0A54">
        <w:t>Finansierad på annat sätt</w:t>
      </w:r>
      <w:r>
        <w:t>” från och med den dag då studietiden överskrider fyra år. För de studerande som avlägger gymnasiets lärokurs på fler än fyra år och som gymnasiet har beviljat tillstånd att avgiftsfritt slutföra gymnasiestudierna enligt läroplanen för unga, ska uppgiften om det förlängda slutdatumet anges under studierättens tilläggsuppgifter (</w:t>
      </w:r>
      <w:hyperlink r:id="rId23" w:anchor="viewer-page?v=1-0-7-9-0" w:history="1">
        <w:r>
          <w:rPr>
            <w:rStyle w:val="Hyperlinkki"/>
          </w:rPr>
          <w:t>https://virkailija.opintopolku.fi/koski/json-schema-viewer/#viewer-page?v=1-0-7-9-0</w:t>
        </w:r>
      </w:hyperlink>
      <w:r>
        <w:t xml:space="preserve">). </w:t>
      </w:r>
    </w:p>
    <w:p w14:paraId="0D0E7640" w14:textId="5605CF02" w:rsidR="009F0133" w:rsidRDefault="009F0133" w:rsidP="00456562">
      <w:r>
        <w:rPr>
          <w:b/>
          <w:bCs/>
        </w:rPr>
        <w:t>Nya kodvärden i kodverket för gymnasiets särskilda utbildningsuppgifter:</w:t>
      </w:r>
      <w:r>
        <w:t xml:space="preserve"> Nya, numeriska kodvärden har lagts till i kodverket för gymnasiets särskilda utbildningsuppgifter(</w:t>
      </w:r>
      <w:hyperlink r:id="rId24" w:anchor="viewer-page?v=1-0-7-9-4" w:history="1">
        <w:r>
          <w:rPr>
            <w:rStyle w:val="Hyperlinkki"/>
          </w:rPr>
          <w:t>https://virkailija.opintopolku.fi/koski/json-schema-viewer/#viewer-page?v=1-0-7-9-4</w:t>
        </w:r>
      </w:hyperlink>
      <w:r>
        <w:t>). De gamla kodvärdena har raderats från förteckningen över tillåtna kodvärden. Markeringen ”ANVÄNDS INTE” har lagts till efter de kodvärden som inte längre är tillåtna. Vi ber utbildningsanordnaren kontrollera med den egna systemleverantören att de nya, tillåtna kodvärdena tas i bruk i det egna studieadministrativa systemet.</w:t>
      </w:r>
    </w:p>
    <w:p w14:paraId="37E351D9" w14:textId="57095B1B" w:rsidR="0014086A" w:rsidRDefault="0014086A" w:rsidP="00456562">
      <w:pPr>
        <w:rPr>
          <w:bCs/>
        </w:rPr>
      </w:pPr>
      <w:r>
        <w:rPr>
          <w:b/>
        </w:rPr>
        <w:t>Nya läroämnen i kodverket för IB-läroämnen:</w:t>
      </w:r>
      <w:r>
        <w:t xml:space="preserve"> Följande nya läroämnen har lagts till i kodverket för IB-läroämnen (</w:t>
      </w:r>
      <w:hyperlink r:id="rId25" w:history="1">
        <w:r>
          <w:rPr>
            <w:rStyle w:val="Hyperlinkki"/>
            <w:bCs/>
          </w:rPr>
          <w:t>https://virkailija.opintopolku.fi/koski/dokumentaatio/koodisto/oppiaineetib/latest</w:t>
        </w:r>
      </w:hyperlink>
      <w:r>
        <w:t>): Dance (DAN), Music (MUS), Film (FIL), Theatre (THE). Uppgiftsmodellen möjliggör att dessa överförs som delprestationer inom en IB-prestation.  Vi ber utbildningsanordnarna kontrollera med sina egna systemleverantörer hur de nya kodvärdena för IB-läroämnen ska tas i bruk.</w:t>
      </w:r>
    </w:p>
    <w:p w14:paraId="1CF908A8" w14:textId="56D6DAB7" w:rsidR="00FB1314" w:rsidRDefault="00FB1314" w:rsidP="00456562">
      <w:r>
        <w:rPr>
          <w:b/>
        </w:rPr>
        <w:t>I granskningsloggen för gymnasieutbildning anges när studierätten senast uppdaterats:</w:t>
      </w:r>
      <w:r>
        <w:t xml:space="preserve"> På gymnasieutbildningens granskningslogg anges nu när studierätten senast har uppdaterats. Uppgiften kan användas till exempel för att hitta studierätter som inte har fått något slutdatum.</w:t>
      </w:r>
    </w:p>
    <w:p w14:paraId="7A73567F" w14:textId="74ED2D19" w:rsidR="00285137" w:rsidRDefault="00103306" w:rsidP="00456562">
      <w:pPr>
        <w:rPr>
          <w:b/>
          <w:bCs/>
        </w:rPr>
      </w:pPr>
      <w:r>
        <w:rPr>
          <w:b/>
          <w:bCs/>
        </w:rPr>
        <w:t>7. Utbildning som förbereder för gymnasieutbildning</w:t>
      </w:r>
    </w:p>
    <w:p w14:paraId="6A25D214" w14:textId="5AABF6C6" w:rsidR="00285137" w:rsidRPr="007F1B9B" w:rsidRDefault="007F1B9B" w:rsidP="00456562">
      <w:r>
        <w:rPr>
          <w:b/>
          <w:bCs/>
        </w:rPr>
        <w:t xml:space="preserve">Nytt fält för den sammanlagda omfattningen av utbildning som förbereder för gymnasieutbildning: </w:t>
      </w:r>
      <w:r>
        <w:t>I uppgiftsmodellen för utbildning som förbereder för gymnasieutbildning har man lagt till ett fält för den sammanlagda omfattningen av utbildning som förbereder för gymnasieutbildning (</w:t>
      </w:r>
      <w:hyperlink r:id="rId26" w:anchor="viewer-page?v=1-0-8-9-0-0-2" w:history="1">
        <w:r>
          <w:rPr>
            <w:rStyle w:val="Hyperlinkki"/>
          </w:rPr>
          <w:t>https://virkailija.opintopolku.fi/koski/json-schema-viewer/#viewer-page?v=1-0-8-9-0-0-2</w:t>
        </w:r>
      </w:hyperlink>
      <w:r>
        <w:t xml:space="preserve">). I fältet överförs/sparas den totala omfattningen av utbildning som förbereder för gymnasieutbildning. Omfattningen anges i antalet kurser i samband med att en prestation inom utbildning som förbereder för </w:t>
      </w:r>
      <w:r>
        <w:lastRenderedPageBreak/>
        <w:t xml:space="preserve">gymnasieutbildning bekräftas. Vi ber utbildningsanordnaren vara i kontakt med leverantören av det egna studieadministrativa systemet vad gäller anvisningar om hur den sammanlagda omfattningen av utbildning som förbereder för gymnasieutbildning anges i systemet så att uppgiften överförs korrekt till informationsresursen KOSKI.  </w:t>
      </w:r>
    </w:p>
    <w:p w14:paraId="3F4EE07A" w14:textId="3CAD4C1D" w:rsidR="00123A5B" w:rsidRPr="00AC1CF5" w:rsidRDefault="00103306" w:rsidP="00456562">
      <w:pPr>
        <w:rPr>
          <w:b/>
        </w:rPr>
      </w:pPr>
      <w:r>
        <w:rPr>
          <w:b/>
        </w:rPr>
        <w:t>8. Yrkesutbildning</w:t>
      </w:r>
    </w:p>
    <w:p w14:paraId="65EB1A5F" w14:textId="69830E44" w:rsidR="00123A5B" w:rsidRPr="00AC1CF5" w:rsidRDefault="00675C6A" w:rsidP="00456562">
      <w:r>
        <w:rPr>
          <w:b/>
        </w:rPr>
        <w:t xml:space="preserve">Erkännande av kunnande och finansiering i fråga om studierätter som inletts före 1.1.2018: </w:t>
      </w:r>
      <w:r>
        <w:t xml:space="preserve">Vi vill påminna utbildningsanordnarna om att erkända delprestationer i anslutning till sådana studierätter som inletts före 1.1.2018 och som har varit/är aktiva efter 1.1.2018 kan anges </w:t>
      </w:r>
      <w:r w:rsidR="005D49A6">
        <w:t>vara kopplade till</w:t>
      </w:r>
      <w:r>
        <w:t xml:space="preserve"> finansieringen endast till den del som gäller delprestationer som har erkänts på basis av prestationer som avlagts efter 1.1.2018. På det här sättet undviker man att finansieringen betalas dubbelt för examensdelar som avlagts före 1.1.2018.</w:t>
      </w:r>
    </w:p>
    <w:p w14:paraId="676B5E11" w14:textId="3267E4B4" w:rsidR="009E4987" w:rsidRPr="00AC1CF5" w:rsidRDefault="00675C6A" w:rsidP="00456562">
      <w:r>
        <w:rPr>
          <w:b/>
        </w:rPr>
        <w:t xml:space="preserve">Nya utskriftsalternativ för rapporterna om prestationer inom yrkesutbildningen (hela examina och </w:t>
      </w:r>
      <w:r w:rsidR="005D49A6">
        <w:rPr>
          <w:b/>
        </w:rPr>
        <w:t>examensdelar</w:t>
      </w:r>
      <w:r>
        <w:rPr>
          <w:b/>
        </w:rPr>
        <w:t>):</w:t>
      </w:r>
      <w:r>
        <w:t xml:space="preserve"> Rapporterna om prestationer inom yrkesutbildning som leder till examen (hela examina eller </w:t>
      </w:r>
      <w:r w:rsidR="005D49A6">
        <w:t>examensdelar</w:t>
      </w:r>
      <w:r>
        <w:t>) kan skrivas ut så att man kan räkna delprestationerna under samtliga studierätter, men därtill även så att endast sådana delprestationer som avlagts under en av användaren vald tidsperiod räknas med i nyckeltalen. På det här sättet kan utbildningsanordnaren använda rapporten till exempel för att kontrollera avlagda delprestationer per studierätt under ett finansieringsår samt för att jämföra dessa uppgifter med talen som sammanställts på finansieringsrapporterna i Vipunen.</w:t>
      </w:r>
    </w:p>
    <w:p w14:paraId="2755DF8D" w14:textId="00DA8CC8" w:rsidR="00E87508" w:rsidRDefault="00103306" w:rsidP="00E87508">
      <w:pPr>
        <w:rPr>
          <w:bCs/>
        </w:rPr>
      </w:pPr>
      <w:r>
        <w:rPr>
          <w:b/>
        </w:rPr>
        <w:t xml:space="preserve">Delområden av gemensamma examensdelar i övrig yrkesutbildning och i prestationer som består av mindre helheter än en examensdel: </w:t>
      </w:r>
      <w:r>
        <w:t xml:space="preserve">Vi vill påminna utbildningsanordnarna om att det i anslutning till prestationer inom övrig yrkesutbildning eller prestationer som består av mindre helheter än en examensdel nu är möjligt att som en delprestation överföra/föra in delområdena av gemensamma examensdelar. Vi ber utbildningsanordnarna kontrollera med systemleverantörerna att de har beredskap att överföra delområden av gemensamma examensdelar som delprestationer under ifrågavarande prestation på huvudnivå samt be om anvisningar för registreringarna som krävs i systemet så att uppgifterna överförs korrekt. </w:t>
      </w:r>
    </w:p>
    <w:p w14:paraId="5B5780CA" w14:textId="40A0A0B4" w:rsidR="00F43AA9" w:rsidRDefault="00F43AA9" w:rsidP="00E87508">
      <w:pPr>
        <w:rPr>
          <w:bCs/>
        </w:rPr>
      </w:pPr>
      <w:r>
        <w:rPr>
          <w:b/>
        </w:rPr>
        <w:t>Granskningsloggar över övrig yrkesutbildning och prestationer som består av mindre helheter än en examensdel:</w:t>
      </w:r>
      <w:r>
        <w:t xml:space="preserve"> I KOSKI-tjänstens rapporteringsgränssnitt finns nu granskningsloggar även för övrig yrkesutbildning och prestationer som består av mindre helheter än en examensdel.</w:t>
      </w:r>
    </w:p>
    <w:p w14:paraId="6D420369" w14:textId="3DD2AFD9" w:rsidR="00FB1314" w:rsidRDefault="00FB1314" w:rsidP="00E87508">
      <w:pPr>
        <w:rPr>
          <w:bCs/>
        </w:rPr>
      </w:pPr>
      <w:r>
        <w:rPr>
          <w:b/>
        </w:rPr>
        <w:t>Bugg förhindrade överföringen av det viktade medeltalet:</w:t>
      </w:r>
      <w:r>
        <w:t xml:space="preserve"> I den automatiska överföringen av uppgifter till KOSKI fanns en bugg i programkoden som hindrade överföringen av det viktade medeltalet för yrkesinriktade grundexamina med två decimalers noggrannhet. Buggen har nu åtgärdats. Vi ber utbildningsanordnarna kontrollera att medeltalet överförs till KOSKI korrekt. Vi påminner om att viktade medeltal ska överföras i anslutning till alla de yrkesinriktade grundexamina som följer reformen eller läroplansbaserade tidigare yrkesinriktade grundexamin</w:t>
      </w:r>
      <w:r w:rsidR="005D49A6">
        <w:t>a</w:t>
      </w:r>
      <w:r>
        <w:t xml:space="preserve"> som avlagts efter 1.1.2018.</w:t>
      </w:r>
    </w:p>
    <w:p w14:paraId="7003E5AF" w14:textId="522AC4BC" w:rsidR="008569FB" w:rsidRDefault="008569FB" w:rsidP="00E87508">
      <w:r>
        <w:rPr>
          <w:b/>
          <w:bCs/>
        </w:rPr>
        <w:t>Att bekräfta prestationer för en eller flera examensdelar:</w:t>
      </w:r>
      <w:r>
        <w:t xml:space="preserve"> </w:t>
      </w:r>
      <w:r w:rsidR="003012ED">
        <w:t xml:space="preserve">I sådan utbildning där målet är att endast avlägga en eller flera examensdelar finns det fall då examensdelen eller -delarna endast </w:t>
      </w:r>
      <w:r>
        <w:t>omfattar prestationer inom en eller flera gemensamma examensdelar. Uppgiftsmodellen i KOSKI möjliggör nu att prestationer för examensdelar markeras som slutförda, det vill säga att de bekräftas, om det bland delprestationerna finns minst en bedömd prestation inom en yrkesinriktad examensdel eller en hel gemensam examensdel.</w:t>
      </w:r>
    </w:p>
    <w:p w14:paraId="66ECAB3F" w14:textId="77777777" w:rsidR="00E966FD" w:rsidRDefault="00E966FD" w:rsidP="005656C3">
      <w:pPr>
        <w:spacing w:after="0"/>
      </w:pPr>
      <w:bookmarkStart w:id="1" w:name="_Hlk532812596"/>
      <w:r>
        <w:t xml:space="preserve">Tillägg i kodverket som ingår i delområdena av gemensamma examensdelar i grundexamina som påbörjats före reformen: Läroämnet ”Främmande språk eller det andra inhemska språket” kan nu överföras med </w:t>
      </w:r>
      <w:r>
        <w:lastRenderedPageBreak/>
        <w:t>kodvärdet</w:t>
      </w:r>
      <w:r>
        <w:rPr>
          <w:color w:val="FF0000"/>
        </w:rPr>
        <w:t xml:space="preserve"> </w:t>
      </w:r>
      <w:r w:rsidRPr="00E966FD">
        <w:t xml:space="preserve">TK2 (Det andra inhemska språket, finska) </w:t>
      </w:r>
      <w:r>
        <w:t>som ett delområde av gemensamma examensdelar i grundexamina som påbörjats före reformen</w:t>
      </w:r>
      <w:r w:rsidR="000A3A9F">
        <w:t>.</w:t>
      </w:r>
    </w:p>
    <w:p w14:paraId="03C14FD7" w14:textId="419AB3B3" w:rsidR="00837861" w:rsidRPr="00AC1CF5" w:rsidRDefault="00361176" w:rsidP="005656C3">
      <w:pPr>
        <w:spacing w:after="0"/>
      </w:pPr>
      <w:r>
        <w:t>Vänliga hälsningar,</w:t>
      </w:r>
    </w:p>
    <w:p w14:paraId="2A20AAB9" w14:textId="77777777" w:rsidR="00361176" w:rsidRPr="00AA6E52" w:rsidRDefault="00361176" w:rsidP="006537EB">
      <w:r>
        <w:t>KOSKI-teamet</w:t>
      </w:r>
      <w:bookmarkEnd w:id="1"/>
    </w:p>
    <w:p w14:paraId="424236DA" w14:textId="77777777" w:rsidR="00244142" w:rsidRPr="00244142" w:rsidRDefault="00244142" w:rsidP="006537EB">
      <w:pPr>
        <w:rPr>
          <w:b/>
        </w:rPr>
      </w:pPr>
    </w:p>
    <w:p w14:paraId="013F1327" w14:textId="77777777" w:rsidR="00D53790" w:rsidRPr="00D53790" w:rsidRDefault="00D53790" w:rsidP="006537EB"/>
    <w:sectPr w:rsidR="00D53790" w:rsidRPr="00D5379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DDCB" w14:textId="77777777" w:rsidR="00064D91" w:rsidRDefault="00064D91" w:rsidP="00836CBB">
      <w:pPr>
        <w:spacing w:after="0" w:line="240" w:lineRule="auto"/>
      </w:pPr>
      <w:r>
        <w:separator/>
      </w:r>
    </w:p>
  </w:endnote>
  <w:endnote w:type="continuationSeparator" w:id="0">
    <w:p w14:paraId="6029AF69" w14:textId="77777777" w:rsidR="00064D91" w:rsidRDefault="00064D91" w:rsidP="0083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1EEC" w14:textId="77777777" w:rsidR="00064D91" w:rsidRDefault="00064D91" w:rsidP="00836CBB">
      <w:pPr>
        <w:spacing w:after="0" w:line="240" w:lineRule="auto"/>
      </w:pPr>
      <w:r>
        <w:separator/>
      </w:r>
    </w:p>
  </w:footnote>
  <w:footnote w:type="continuationSeparator" w:id="0">
    <w:p w14:paraId="6A5BA9A1" w14:textId="77777777" w:rsidR="00064D91" w:rsidRDefault="00064D91" w:rsidP="0083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5716B"/>
    <w:multiLevelType w:val="hybridMultilevel"/>
    <w:tmpl w:val="D5082F2A"/>
    <w:lvl w:ilvl="0" w:tplc="040B0001">
      <w:start w:val="1"/>
      <w:numFmt w:val="bullet"/>
      <w:lvlText w:val=""/>
      <w:lvlJc w:val="left"/>
      <w:pPr>
        <w:ind w:left="1083" w:hanging="360"/>
      </w:pPr>
      <w:rPr>
        <w:rFonts w:ascii="Symbol" w:hAnsi="Symbol" w:hint="default"/>
      </w:rPr>
    </w:lvl>
    <w:lvl w:ilvl="1" w:tplc="040B0003">
      <w:start w:val="1"/>
      <w:numFmt w:val="bullet"/>
      <w:lvlText w:val="o"/>
      <w:lvlJc w:val="left"/>
      <w:pPr>
        <w:ind w:left="1803" w:hanging="360"/>
      </w:pPr>
      <w:rPr>
        <w:rFonts w:ascii="Courier New" w:hAnsi="Courier New" w:cs="Courier New" w:hint="default"/>
      </w:rPr>
    </w:lvl>
    <w:lvl w:ilvl="2" w:tplc="040B0005" w:tentative="1">
      <w:start w:val="1"/>
      <w:numFmt w:val="bullet"/>
      <w:lvlText w:val=""/>
      <w:lvlJc w:val="left"/>
      <w:pPr>
        <w:ind w:left="2523" w:hanging="360"/>
      </w:pPr>
      <w:rPr>
        <w:rFonts w:ascii="Wingdings" w:hAnsi="Wingdings" w:hint="default"/>
      </w:rPr>
    </w:lvl>
    <w:lvl w:ilvl="3" w:tplc="040B0001" w:tentative="1">
      <w:start w:val="1"/>
      <w:numFmt w:val="bullet"/>
      <w:lvlText w:val=""/>
      <w:lvlJc w:val="left"/>
      <w:pPr>
        <w:ind w:left="3243" w:hanging="360"/>
      </w:pPr>
      <w:rPr>
        <w:rFonts w:ascii="Symbol" w:hAnsi="Symbol" w:hint="default"/>
      </w:rPr>
    </w:lvl>
    <w:lvl w:ilvl="4" w:tplc="040B0003" w:tentative="1">
      <w:start w:val="1"/>
      <w:numFmt w:val="bullet"/>
      <w:lvlText w:val="o"/>
      <w:lvlJc w:val="left"/>
      <w:pPr>
        <w:ind w:left="3963" w:hanging="360"/>
      </w:pPr>
      <w:rPr>
        <w:rFonts w:ascii="Courier New" w:hAnsi="Courier New" w:cs="Courier New" w:hint="default"/>
      </w:rPr>
    </w:lvl>
    <w:lvl w:ilvl="5" w:tplc="040B0005" w:tentative="1">
      <w:start w:val="1"/>
      <w:numFmt w:val="bullet"/>
      <w:lvlText w:val=""/>
      <w:lvlJc w:val="left"/>
      <w:pPr>
        <w:ind w:left="4683" w:hanging="360"/>
      </w:pPr>
      <w:rPr>
        <w:rFonts w:ascii="Wingdings" w:hAnsi="Wingdings" w:hint="default"/>
      </w:rPr>
    </w:lvl>
    <w:lvl w:ilvl="6" w:tplc="040B0001" w:tentative="1">
      <w:start w:val="1"/>
      <w:numFmt w:val="bullet"/>
      <w:lvlText w:val=""/>
      <w:lvlJc w:val="left"/>
      <w:pPr>
        <w:ind w:left="5403" w:hanging="360"/>
      </w:pPr>
      <w:rPr>
        <w:rFonts w:ascii="Symbol" w:hAnsi="Symbol" w:hint="default"/>
      </w:rPr>
    </w:lvl>
    <w:lvl w:ilvl="7" w:tplc="040B0003" w:tentative="1">
      <w:start w:val="1"/>
      <w:numFmt w:val="bullet"/>
      <w:lvlText w:val="o"/>
      <w:lvlJc w:val="left"/>
      <w:pPr>
        <w:ind w:left="6123" w:hanging="360"/>
      </w:pPr>
      <w:rPr>
        <w:rFonts w:ascii="Courier New" w:hAnsi="Courier New" w:cs="Courier New" w:hint="default"/>
      </w:rPr>
    </w:lvl>
    <w:lvl w:ilvl="8" w:tplc="040B0005" w:tentative="1">
      <w:start w:val="1"/>
      <w:numFmt w:val="bullet"/>
      <w:lvlText w:val=""/>
      <w:lvlJc w:val="left"/>
      <w:pPr>
        <w:ind w:left="6843" w:hanging="360"/>
      </w:pPr>
      <w:rPr>
        <w:rFonts w:ascii="Wingdings" w:hAnsi="Wingdings" w:hint="default"/>
      </w:rPr>
    </w:lvl>
  </w:abstractNum>
  <w:abstractNum w:abstractNumId="1"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521651F"/>
    <w:multiLevelType w:val="hybridMultilevel"/>
    <w:tmpl w:val="22D48B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5017A4E"/>
    <w:multiLevelType w:val="hybridMultilevel"/>
    <w:tmpl w:val="548004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53B835CE">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0822D4"/>
    <w:multiLevelType w:val="hybridMultilevel"/>
    <w:tmpl w:val="AEEAF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43A59"/>
    <w:rsid w:val="00046815"/>
    <w:rsid w:val="000469F7"/>
    <w:rsid w:val="00047B09"/>
    <w:rsid w:val="00064D91"/>
    <w:rsid w:val="00072C67"/>
    <w:rsid w:val="00080628"/>
    <w:rsid w:val="0008174F"/>
    <w:rsid w:val="00091893"/>
    <w:rsid w:val="000A3A9F"/>
    <w:rsid w:val="000B7651"/>
    <w:rsid w:val="000E4D6D"/>
    <w:rsid w:val="00103306"/>
    <w:rsid w:val="00122C36"/>
    <w:rsid w:val="00123A5B"/>
    <w:rsid w:val="00126113"/>
    <w:rsid w:val="001339C0"/>
    <w:rsid w:val="0014086A"/>
    <w:rsid w:val="00167056"/>
    <w:rsid w:val="001A0F62"/>
    <w:rsid w:val="001A6AB8"/>
    <w:rsid w:val="001B3EF5"/>
    <w:rsid w:val="001B6817"/>
    <w:rsid w:val="001C5C2C"/>
    <w:rsid w:val="001D1A9E"/>
    <w:rsid w:val="001F0332"/>
    <w:rsid w:val="001F1E27"/>
    <w:rsid w:val="001F7D25"/>
    <w:rsid w:val="00216A32"/>
    <w:rsid w:val="00243343"/>
    <w:rsid w:val="00244142"/>
    <w:rsid w:val="002516C6"/>
    <w:rsid w:val="00256C52"/>
    <w:rsid w:val="00267276"/>
    <w:rsid w:val="00274F44"/>
    <w:rsid w:val="00285137"/>
    <w:rsid w:val="002D0569"/>
    <w:rsid w:val="002D429C"/>
    <w:rsid w:val="002F3E40"/>
    <w:rsid w:val="002F4936"/>
    <w:rsid w:val="003012ED"/>
    <w:rsid w:val="0030302A"/>
    <w:rsid w:val="00305950"/>
    <w:rsid w:val="00311BD4"/>
    <w:rsid w:val="00322DEC"/>
    <w:rsid w:val="00340898"/>
    <w:rsid w:val="00361176"/>
    <w:rsid w:val="00387F96"/>
    <w:rsid w:val="00397EB6"/>
    <w:rsid w:val="003A68B0"/>
    <w:rsid w:val="003B5C4F"/>
    <w:rsid w:val="003D42B5"/>
    <w:rsid w:val="00413C7C"/>
    <w:rsid w:val="0041509A"/>
    <w:rsid w:val="00423237"/>
    <w:rsid w:val="00456562"/>
    <w:rsid w:val="00491800"/>
    <w:rsid w:val="00497FBD"/>
    <w:rsid w:val="004A4ABE"/>
    <w:rsid w:val="004E1DAE"/>
    <w:rsid w:val="00502452"/>
    <w:rsid w:val="00506833"/>
    <w:rsid w:val="00560D75"/>
    <w:rsid w:val="00562E1E"/>
    <w:rsid w:val="005656C3"/>
    <w:rsid w:val="0057645E"/>
    <w:rsid w:val="00576C07"/>
    <w:rsid w:val="005822FE"/>
    <w:rsid w:val="005C3D64"/>
    <w:rsid w:val="005C5B94"/>
    <w:rsid w:val="005D2F03"/>
    <w:rsid w:val="005D49A6"/>
    <w:rsid w:val="005F31BE"/>
    <w:rsid w:val="00601C42"/>
    <w:rsid w:val="006029BD"/>
    <w:rsid w:val="0063663C"/>
    <w:rsid w:val="00647641"/>
    <w:rsid w:val="006537EB"/>
    <w:rsid w:val="00665A59"/>
    <w:rsid w:val="0067030F"/>
    <w:rsid w:val="00675C6A"/>
    <w:rsid w:val="00707ADC"/>
    <w:rsid w:val="00711C44"/>
    <w:rsid w:val="00725790"/>
    <w:rsid w:val="0073608E"/>
    <w:rsid w:val="00765F1A"/>
    <w:rsid w:val="00767FD3"/>
    <w:rsid w:val="007711F2"/>
    <w:rsid w:val="007831E4"/>
    <w:rsid w:val="00791154"/>
    <w:rsid w:val="007B0D36"/>
    <w:rsid w:val="007B5AA3"/>
    <w:rsid w:val="007B7DAB"/>
    <w:rsid w:val="007C31E4"/>
    <w:rsid w:val="007F1B9B"/>
    <w:rsid w:val="00813C4A"/>
    <w:rsid w:val="00823DD1"/>
    <w:rsid w:val="008248A1"/>
    <w:rsid w:val="00824E07"/>
    <w:rsid w:val="00831BB1"/>
    <w:rsid w:val="0083541E"/>
    <w:rsid w:val="00835A5C"/>
    <w:rsid w:val="008365CF"/>
    <w:rsid w:val="00836CBB"/>
    <w:rsid w:val="00837861"/>
    <w:rsid w:val="008569FB"/>
    <w:rsid w:val="00866272"/>
    <w:rsid w:val="00870ABA"/>
    <w:rsid w:val="00880AA7"/>
    <w:rsid w:val="008A7F8F"/>
    <w:rsid w:val="008C0641"/>
    <w:rsid w:val="008D34CC"/>
    <w:rsid w:val="008D7112"/>
    <w:rsid w:val="008F7721"/>
    <w:rsid w:val="009028DA"/>
    <w:rsid w:val="00934FFF"/>
    <w:rsid w:val="009437CF"/>
    <w:rsid w:val="009643BC"/>
    <w:rsid w:val="009A2A1B"/>
    <w:rsid w:val="009C14EA"/>
    <w:rsid w:val="009D2EF8"/>
    <w:rsid w:val="009E4987"/>
    <w:rsid w:val="009F0133"/>
    <w:rsid w:val="00A05871"/>
    <w:rsid w:val="00A33483"/>
    <w:rsid w:val="00A47459"/>
    <w:rsid w:val="00AA6E52"/>
    <w:rsid w:val="00AC1CF5"/>
    <w:rsid w:val="00AD23FE"/>
    <w:rsid w:val="00AE19D9"/>
    <w:rsid w:val="00AE651F"/>
    <w:rsid w:val="00B02BDF"/>
    <w:rsid w:val="00B234DE"/>
    <w:rsid w:val="00B54FE6"/>
    <w:rsid w:val="00B74151"/>
    <w:rsid w:val="00BA4453"/>
    <w:rsid w:val="00BB3826"/>
    <w:rsid w:val="00BE0A54"/>
    <w:rsid w:val="00C27136"/>
    <w:rsid w:val="00C30862"/>
    <w:rsid w:val="00C41A61"/>
    <w:rsid w:val="00C45CCE"/>
    <w:rsid w:val="00C52AD6"/>
    <w:rsid w:val="00C5629E"/>
    <w:rsid w:val="00C805D4"/>
    <w:rsid w:val="00C85AE7"/>
    <w:rsid w:val="00C948F0"/>
    <w:rsid w:val="00CA19C5"/>
    <w:rsid w:val="00CB16E4"/>
    <w:rsid w:val="00CD4BF8"/>
    <w:rsid w:val="00CD7C1F"/>
    <w:rsid w:val="00CF2103"/>
    <w:rsid w:val="00D17068"/>
    <w:rsid w:val="00D32B5F"/>
    <w:rsid w:val="00D52C13"/>
    <w:rsid w:val="00D53790"/>
    <w:rsid w:val="00D60472"/>
    <w:rsid w:val="00D64219"/>
    <w:rsid w:val="00D74288"/>
    <w:rsid w:val="00D83B76"/>
    <w:rsid w:val="00D94DC6"/>
    <w:rsid w:val="00DA2864"/>
    <w:rsid w:val="00DE422D"/>
    <w:rsid w:val="00DE660F"/>
    <w:rsid w:val="00E4489C"/>
    <w:rsid w:val="00E74FCB"/>
    <w:rsid w:val="00E87508"/>
    <w:rsid w:val="00E906BE"/>
    <w:rsid w:val="00E94565"/>
    <w:rsid w:val="00E966FD"/>
    <w:rsid w:val="00EA24DA"/>
    <w:rsid w:val="00EA3B45"/>
    <w:rsid w:val="00EC6F0C"/>
    <w:rsid w:val="00ED3F99"/>
    <w:rsid w:val="00EE717B"/>
    <w:rsid w:val="00EF5AA6"/>
    <w:rsid w:val="00F00A5B"/>
    <w:rsid w:val="00F21F7D"/>
    <w:rsid w:val="00F43AA9"/>
    <w:rsid w:val="00F54110"/>
    <w:rsid w:val="00F629D9"/>
    <w:rsid w:val="00F62A03"/>
    <w:rsid w:val="00F62C90"/>
    <w:rsid w:val="00F7776C"/>
    <w:rsid w:val="00FA4574"/>
    <w:rsid w:val="00FB1314"/>
    <w:rsid w:val="00FB16D1"/>
    <w:rsid w:val="00FF2078"/>
    <w:rsid w:val="00FF26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6B9"/>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 w:type="character" w:styleId="Kommentinviite">
    <w:name w:val="annotation reference"/>
    <w:basedOn w:val="Kappaleenoletusfontti"/>
    <w:uiPriority w:val="99"/>
    <w:semiHidden/>
    <w:unhideWhenUsed/>
    <w:rsid w:val="00CD4BF8"/>
    <w:rPr>
      <w:sz w:val="16"/>
      <w:szCs w:val="16"/>
    </w:rPr>
  </w:style>
  <w:style w:type="paragraph" w:styleId="Kommentinteksti">
    <w:name w:val="annotation text"/>
    <w:basedOn w:val="Normaali"/>
    <w:link w:val="KommentintekstiChar"/>
    <w:uiPriority w:val="99"/>
    <w:semiHidden/>
    <w:unhideWhenUsed/>
    <w:rsid w:val="00CD4B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4BF8"/>
    <w:rPr>
      <w:sz w:val="20"/>
      <w:szCs w:val="20"/>
    </w:rPr>
  </w:style>
  <w:style w:type="paragraph" w:styleId="Kommentinotsikko">
    <w:name w:val="annotation subject"/>
    <w:basedOn w:val="Kommentinteksti"/>
    <w:next w:val="Kommentinteksti"/>
    <w:link w:val="KommentinotsikkoChar"/>
    <w:uiPriority w:val="99"/>
    <w:semiHidden/>
    <w:unhideWhenUsed/>
    <w:rsid w:val="00CD4BF8"/>
    <w:rPr>
      <w:b/>
      <w:bCs/>
    </w:rPr>
  </w:style>
  <w:style w:type="character" w:customStyle="1" w:styleId="KommentinotsikkoChar">
    <w:name w:val="Kommentin otsikko Char"/>
    <w:basedOn w:val="KommentintekstiChar"/>
    <w:link w:val="Kommentinotsikko"/>
    <w:uiPriority w:val="99"/>
    <w:semiHidden/>
    <w:rsid w:val="00CD4BF8"/>
    <w:rPr>
      <w:b/>
      <w:bCs/>
      <w:sz w:val="20"/>
      <w:szCs w:val="20"/>
    </w:rPr>
  </w:style>
  <w:style w:type="paragraph" w:styleId="Seliteteksti">
    <w:name w:val="Balloon Text"/>
    <w:basedOn w:val="Normaali"/>
    <w:link w:val="SelitetekstiChar"/>
    <w:uiPriority w:val="99"/>
    <w:semiHidden/>
    <w:unhideWhenUsed/>
    <w:rsid w:val="00CD4B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4BF8"/>
    <w:rPr>
      <w:rFonts w:ascii="Segoe UI" w:hAnsi="Segoe UI" w:cs="Segoe UI"/>
      <w:sz w:val="18"/>
      <w:szCs w:val="18"/>
    </w:rPr>
  </w:style>
  <w:style w:type="paragraph" w:styleId="Yltunniste">
    <w:name w:val="header"/>
    <w:basedOn w:val="Normaali"/>
    <w:link w:val="YltunnisteChar"/>
    <w:uiPriority w:val="99"/>
    <w:unhideWhenUsed/>
    <w:rsid w:val="00836C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36CBB"/>
  </w:style>
  <w:style w:type="paragraph" w:styleId="Alatunniste">
    <w:name w:val="footer"/>
    <w:basedOn w:val="Normaali"/>
    <w:link w:val="AlatunnisteChar"/>
    <w:uiPriority w:val="99"/>
    <w:unhideWhenUsed/>
    <w:rsid w:val="00836C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36CBB"/>
  </w:style>
  <w:style w:type="character" w:styleId="AvattuHyperlinkki">
    <w:name w:val="FollowedHyperlink"/>
    <w:basedOn w:val="Kappaleenoletusfontti"/>
    <w:uiPriority w:val="99"/>
    <w:semiHidden/>
    <w:unhideWhenUsed/>
    <w:rsid w:val="005C5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507">
      <w:bodyDiv w:val="1"/>
      <w:marLeft w:val="0"/>
      <w:marRight w:val="0"/>
      <w:marTop w:val="0"/>
      <w:marBottom w:val="0"/>
      <w:divBdr>
        <w:top w:val="none" w:sz="0" w:space="0" w:color="auto"/>
        <w:left w:val="none" w:sz="0" w:space="0" w:color="auto"/>
        <w:bottom w:val="none" w:sz="0" w:space="0" w:color="auto"/>
        <w:right w:val="none" w:sz="0" w:space="0" w:color="auto"/>
      </w:divBdr>
      <w:divsChild>
        <w:div w:id="658460376">
          <w:marLeft w:val="0"/>
          <w:marRight w:val="0"/>
          <w:marTop w:val="0"/>
          <w:marBottom w:val="0"/>
          <w:divBdr>
            <w:top w:val="none" w:sz="0" w:space="0" w:color="auto"/>
            <w:left w:val="none" w:sz="0" w:space="0" w:color="auto"/>
            <w:bottom w:val="none" w:sz="0" w:space="0" w:color="auto"/>
            <w:right w:val="none" w:sz="0" w:space="0" w:color="auto"/>
          </w:divBdr>
        </w:div>
        <w:div w:id="1471511870">
          <w:marLeft w:val="0"/>
          <w:marRight w:val="0"/>
          <w:marTop w:val="0"/>
          <w:marBottom w:val="0"/>
          <w:divBdr>
            <w:top w:val="none" w:sz="0" w:space="0" w:color="auto"/>
            <w:left w:val="none" w:sz="0" w:space="0" w:color="auto"/>
            <w:bottom w:val="none" w:sz="0" w:space="0" w:color="auto"/>
            <w:right w:val="none" w:sz="0" w:space="0" w:color="auto"/>
          </w:divBdr>
        </w:div>
        <w:div w:id="1416246384">
          <w:marLeft w:val="0"/>
          <w:marRight w:val="0"/>
          <w:marTop w:val="0"/>
          <w:marBottom w:val="0"/>
          <w:divBdr>
            <w:top w:val="none" w:sz="0" w:space="0" w:color="auto"/>
            <w:left w:val="none" w:sz="0" w:space="0" w:color="auto"/>
            <w:bottom w:val="none" w:sz="0" w:space="0" w:color="auto"/>
            <w:right w:val="none" w:sz="0" w:space="0" w:color="auto"/>
          </w:divBdr>
        </w:div>
        <w:div w:id="1017585289">
          <w:marLeft w:val="0"/>
          <w:marRight w:val="0"/>
          <w:marTop w:val="0"/>
          <w:marBottom w:val="0"/>
          <w:divBdr>
            <w:top w:val="none" w:sz="0" w:space="0" w:color="auto"/>
            <w:left w:val="none" w:sz="0" w:space="0" w:color="auto"/>
            <w:bottom w:val="none" w:sz="0" w:space="0" w:color="auto"/>
            <w:right w:val="none" w:sz="0" w:space="0" w:color="auto"/>
          </w:divBdr>
        </w:div>
        <w:div w:id="2080667438">
          <w:marLeft w:val="0"/>
          <w:marRight w:val="0"/>
          <w:marTop w:val="0"/>
          <w:marBottom w:val="0"/>
          <w:divBdr>
            <w:top w:val="none" w:sz="0" w:space="0" w:color="auto"/>
            <w:left w:val="none" w:sz="0" w:space="0" w:color="auto"/>
            <w:bottom w:val="none" w:sz="0" w:space="0" w:color="auto"/>
            <w:right w:val="none" w:sz="0" w:space="0" w:color="auto"/>
          </w:divBdr>
        </w:div>
        <w:div w:id="1365836057">
          <w:marLeft w:val="0"/>
          <w:marRight w:val="0"/>
          <w:marTop w:val="0"/>
          <w:marBottom w:val="0"/>
          <w:divBdr>
            <w:top w:val="none" w:sz="0" w:space="0" w:color="auto"/>
            <w:left w:val="none" w:sz="0" w:space="0" w:color="auto"/>
            <w:bottom w:val="none" w:sz="0" w:space="0" w:color="auto"/>
            <w:right w:val="none" w:sz="0" w:space="0" w:color="auto"/>
          </w:divBdr>
        </w:div>
        <w:div w:id="797721649">
          <w:marLeft w:val="0"/>
          <w:marRight w:val="0"/>
          <w:marTop w:val="0"/>
          <w:marBottom w:val="0"/>
          <w:divBdr>
            <w:top w:val="none" w:sz="0" w:space="0" w:color="auto"/>
            <w:left w:val="none" w:sz="0" w:space="0" w:color="auto"/>
            <w:bottom w:val="none" w:sz="0" w:space="0" w:color="auto"/>
            <w:right w:val="none" w:sz="0" w:space="0" w:color="auto"/>
          </w:divBdr>
        </w:div>
        <w:div w:id="42233656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05946484">
          <w:marLeft w:val="0"/>
          <w:marRight w:val="0"/>
          <w:marTop w:val="0"/>
          <w:marBottom w:val="0"/>
          <w:divBdr>
            <w:top w:val="none" w:sz="0" w:space="0" w:color="auto"/>
            <w:left w:val="none" w:sz="0" w:space="0" w:color="auto"/>
            <w:bottom w:val="none" w:sz="0" w:space="0" w:color="auto"/>
            <w:right w:val="none" w:sz="0" w:space="0" w:color="auto"/>
          </w:divBdr>
        </w:div>
        <w:div w:id="1174688565">
          <w:marLeft w:val="0"/>
          <w:marRight w:val="0"/>
          <w:marTop w:val="0"/>
          <w:marBottom w:val="0"/>
          <w:divBdr>
            <w:top w:val="none" w:sz="0" w:space="0" w:color="auto"/>
            <w:left w:val="none" w:sz="0" w:space="0" w:color="auto"/>
            <w:bottom w:val="none" w:sz="0" w:space="0" w:color="auto"/>
            <w:right w:val="none" w:sz="0" w:space="0" w:color="auto"/>
          </w:divBdr>
        </w:div>
        <w:div w:id="1119452327">
          <w:marLeft w:val="0"/>
          <w:marRight w:val="0"/>
          <w:marTop w:val="0"/>
          <w:marBottom w:val="0"/>
          <w:divBdr>
            <w:top w:val="none" w:sz="0" w:space="0" w:color="auto"/>
            <w:left w:val="none" w:sz="0" w:space="0" w:color="auto"/>
            <w:bottom w:val="none" w:sz="0" w:space="0" w:color="auto"/>
            <w:right w:val="none" w:sz="0" w:space="0" w:color="auto"/>
          </w:divBdr>
        </w:div>
        <w:div w:id="1183393750">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1772433190">
          <w:marLeft w:val="0"/>
          <w:marRight w:val="0"/>
          <w:marTop w:val="0"/>
          <w:marBottom w:val="0"/>
          <w:divBdr>
            <w:top w:val="none" w:sz="0" w:space="0" w:color="auto"/>
            <w:left w:val="none" w:sz="0" w:space="0" w:color="auto"/>
            <w:bottom w:val="none" w:sz="0" w:space="0" w:color="auto"/>
            <w:right w:val="none" w:sz="0" w:space="0" w:color="auto"/>
          </w:divBdr>
        </w:div>
        <w:div w:id="1202941201">
          <w:marLeft w:val="0"/>
          <w:marRight w:val="0"/>
          <w:marTop w:val="0"/>
          <w:marBottom w:val="0"/>
          <w:divBdr>
            <w:top w:val="none" w:sz="0" w:space="0" w:color="auto"/>
            <w:left w:val="none" w:sz="0" w:space="0" w:color="auto"/>
            <w:bottom w:val="none" w:sz="0" w:space="0" w:color="auto"/>
            <w:right w:val="none" w:sz="0" w:space="0" w:color="auto"/>
          </w:divBdr>
        </w:div>
        <w:div w:id="1369571604">
          <w:marLeft w:val="0"/>
          <w:marRight w:val="0"/>
          <w:marTop w:val="0"/>
          <w:marBottom w:val="0"/>
          <w:divBdr>
            <w:top w:val="none" w:sz="0" w:space="0" w:color="auto"/>
            <w:left w:val="none" w:sz="0" w:space="0" w:color="auto"/>
            <w:bottom w:val="none" w:sz="0" w:space="0" w:color="auto"/>
            <w:right w:val="none" w:sz="0" w:space="0" w:color="auto"/>
          </w:divBdr>
        </w:div>
        <w:div w:id="1805656914">
          <w:marLeft w:val="0"/>
          <w:marRight w:val="0"/>
          <w:marTop w:val="0"/>
          <w:marBottom w:val="0"/>
          <w:divBdr>
            <w:top w:val="none" w:sz="0" w:space="0" w:color="auto"/>
            <w:left w:val="none" w:sz="0" w:space="0" w:color="auto"/>
            <w:bottom w:val="none" w:sz="0" w:space="0" w:color="auto"/>
            <w:right w:val="none" w:sz="0" w:space="0" w:color="auto"/>
          </w:divBdr>
        </w:div>
      </w:divsChild>
    </w:div>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 w:id="1925062844">
      <w:bodyDiv w:val="1"/>
      <w:marLeft w:val="0"/>
      <w:marRight w:val="0"/>
      <w:marTop w:val="0"/>
      <w:marBottom w:val="0"/>
      <w:divBdr>
        <w:top w:val="none" w:sz="0" w:space="0" w:color="auto"/>
        <w:left w:val="none" w:sz="0" w:space="0" w:color="auto"/>
        <w:bottom w:val="none" w:sz="0" w:space="0" w:color="auto"/>
        <w:right w:val="none" w:sz="0" w:space="0" w:color="auto"/>
      </w:divBdr>
    </w:div>
    <w:div w:id="21067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ki@opintopolku.fi" TargetMode="External"/><Relationship Id="rId13" Type="http://schemas.openxmlformats.org/officeDocument/2006/relationships/hyperlink" Target="https://extra.koski.opintopolku.fi/" TargetMode="External"/><Relationship Id="rId18" Type="http://schemas.openxmlformats.org/officeDocument/2006/relationships/hyperlink" Target="https://confluence.csc.fi/download/attachments/85036904/AIKUISTEN_PO_2019_vertailu_2020_02_03.xlsx?version=1&amp;modificationDate=1580800872033&amp;api=v2" TargetMode="External"/><Relationship Id="rId26" Type="http://schemas.openxmlformats.org/officeDocument/2006/relationships/hyperlink" Target="https://virkailija.opintopolku.fi/koski/json-schema-viewer/" TargetMode="External"/><Relationship Id="rId3" Type="http://schemas.openxmlformats.org/officeDocument/2006/relationships/styles" Target="styles.xml"/><Relationship Id="rId21" Type="http://schemas.openxmlformats.org/officeDocument/2006/relationships/hyperlink" Target="https://virkailija.opintopolku.fi/koski/json-schema-viewer/" TargetMode="External"/><Relationship Id="rId7" Type="http://schemas.openxmlformats.org/officeDocument/2006/relationships/endnotes" Target="endnotes.xml"/><Relationship Id="rId12" Type="http://schemas.openxmlformats.org/officeDocument/2006/relationships/hyperlink" Target="https://confluence.csc.fi/pages/viewpage.action?pageId=68736471" TargetMode="External"/><Relationship Id="rId17" Type="http://schemas.openxmlformats.org/officeDocument/2006/relationships/hyperlink" Target="https://confluence.csc.fi/pages/viewpage.action?pageId=85036904" TargetMode="External"/><Relationship Id="rId25" Type="http://schemas.openxmlformats.org/officeDocument/2006/relationships/hyperlink" Target="https://virkailija.opintopolku.fi/koski/dokumentaatio/koodisto/oppiaineetib/latest" TargetMode="External"/><Relationship Id="rId2" Type="http://schemas.openxmlformats.org/officeDocument/2006/relationships/numbering" Target="numbering.xml"/><Relationship Id="rId16" Type="http://schemas.openxmlformats.org/officeDocument/2006/relationships/hyperlink" Target="https://meet.lync.com/oph.fi/essi.kristiina.laitinen/G6CGKN31" TargetMode="External"/><Relationship Id="rId20" Type="http://schemas.openxmlformats.org/officeDocument/2006/relationships/hyperlink" Target="https://virkailija.opintopolku.fi/koski/json-schema-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csc.fi/pages/viewpage.action?pageId=85036904" TargetMode="External"/><Relationship Id="rId24" Type="http://schemas.openxmlformats.org/officeDocument/2006/relationships/hyperlink" Target="https://virkailija.opintopolku.fi/koski/json-schema-viewer/" TargetMode="External"/><Relationship Id="rId5" Type="http://schemas.openxmlformats.org/officeDocument/2006/relationships/webSettings" Target="webSettings.xml"/><Relationship Id="rId15" Type="http://schemas.openxmlformats.org/officeDocument/2006/relationships/hyperlink" Target="https://confluence.csc.fi/display/OPHPALV/Esiopetuksen+suoritustiedot" TargetMode="External"/><Relationship Id="rId23" Type="http://schemas.openxmlformats.org/officeDocument/2006/relationships/hyperlink" Target="https://virkailija.opintopolku.fi/koski/json-schema-viewer/" TargetMode="External"/><Relationship Id="rId28" Type="http://schemas.openxmlformats.org/officeDocument/2006/relationships/theme" Target="theme/theme1.xml"/><Relationship Id="rId10" Type="http://schemas.openxmlformats.org/officeDocument/2006/relationships/hyperlink" Target="https://github.com/Opetushallitus/koski/blob/master/tiedonsiirtoprotokollan_muutoshistoria.md" TargetMode="External"/><Relationship Id="rId19" Type="http://schemas.openxmlformats.org/officeDocument/2006/relationships/hyperlink" Target="https://virkailija.opintopolku.fi/koski/json-schema-viewer/" TargetMode="External"/><Relationship Id="rId4" Type="http://schemas.openxmlformats.org/officeDocument/2006/relationships/settings" Target="settings.xml"/><Relationship Id="rId9" Type="http://schemas.openxmlformats.org/officeDocument/2006/relationships/hyperlink" Target="https://confluence.csc.fi/pages/viewpage.action?pageId=72811519" TargetMode="External"/><Relationship Id="rId14" Type="http://schemas.openxmlformats.org/officeDocument/2006/relationships/hyperlink" Target="https://virkailija.opintopolku.fi/koski/raportit" TargetMode="External"/><Relationship Id="rId22" Type="http://schemas.openxmlformats.org/officeDocument/2006/relationships/hyperlink" Target="https://virkailija.opintopolku.fi/koski/json-schema-viewer/"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0E88-83C8-4857-93B4-1FBEB44A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2250</Words>
  <Characters>18228</Characters>
  <Application>Microsoft Office Word</Application>
  <DocSecurity>0</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7</cp:revision>
  <dcterms:created xsi:type="dcterms:W3CDTF">2020-02-17T07:45:00Z</dcterms:created>
  <dcterms:modified xsi:type="dcterms:W3CDTF">2020-02-18T07:29:00Z</dcterms:modified>
</cp:coreProperties>
</file>